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济源产城融合示范区202</w:t>
      </w:r>
      <w:r>
        <w:rPr>
          <w:rFonts w:hint="default" w:ascii="方正小标宋简体" w:hAnsi="方正小标宋_GBK" w:eastAsia="方正小标宋简体" w:cs="方正小标宋_GBK"/>
          <w:color w:val="auto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年度文化工作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考核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lang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为进一步完善济源公共文化服务体系，巩固国家公共文化服务体系示范区创建成果，参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《河南省现代公共文化服务体系建设绩效考核指标（县级）》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，结合济源实际，特制定如下考核办法。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承担公共文化服务体系建设任务的相关单位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二、考核内容及评分标准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center"/>
        <w:rPr>
          <w:rFonts w:ascii="楷体" w:hAnsi="楷体" w:eastAsia="楷体" w:cs="仿宋_GB2312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</w:rPr>
        <w:t>（一）镇（街道）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</w:t>
      </w:r>
      <w:r>
        <w:rPr>
          <w:rFonts w:ascii="等线" w:hAnsi="等线" w:eastAsia="等线" w:cs="等线"/>
          <w:color w:val="auto"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镇（街道）综合文化站按照《河南省基层综合性文化服务中心建设标准》设置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，面积达标，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功能室齐全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不达标的扣0.5分。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</w:t>
      </w:r>
      <w:r>
        <w:rPr>
          <w:rFonts w:ascii="等线" w:hAnsi="等线" w:eastAsia="等线" w:cs="等线"/>
          <w:color w:val="auto"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镇（街道）综合文化站图书室图书不少于3000册，品种不少于800种，报刊不少于5种，并具备满足出版物陈列、借阅、管理的基本条件。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不达标的扣0.2分。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</w:t>
      </w:r>
      <w:r>
        <w:rPr>
          <w:rFonts w:ascii="等线" w:hAnsi="等线" w:eastAsia="等线" w:cs="等线"/>
          <w:color w:val="auto"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（居、社区）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综合性文化服务中心按照《河南省村（社区）综合性文化服务中心建设和服务标准》设置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，面积达标，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功能室齐全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每有一个不达标的扣0.1分，最多扣1分。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每个街道办事处建有至少一座城市书房。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不达标的扣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5.</w:t>
      </w:r>
      <w:r>
        <w:rPr>
          <w:rFonts w:ascii="等线" w:hAnsi="等线" w:eastAsia="等线" w:cs="等线"/>
          <w:color w:val="auto"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镇（街道）综合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文化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站免费开放时间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每周不少于42小时。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不达标的扣0.2分。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6.</w:t>
      </w:r>
      <w:r>
        <w:rPr>
          <w:rFonts w:ascii="等线" w:hAnsi="等线" w:eastAsia="等线" w:cs="等线"/>
          <w:color w:val="auto"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镇（街道）综合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文化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组织举办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线下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展览、文艺活动、讲座、培训等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20场次以上，且比上一年度增加10%以上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场次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不达标的扣0.2分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，增量不达标扣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0.1分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辖区内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30%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村（居、社区）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综合文化服务中心建有村史馆、非遗馆等民俗文化展馆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达不到比例的，每少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5个百分点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0.1分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镇（街道）综合文化站每月至少发布一次文化活动预告、一条文化活动信息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缺少一条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的扣0.1分，最多扣1分。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9. 镇（街道）为辖区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村（居、社区）提供文艺演出每年不少于1场。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每有一个不达标的扣0.05分，最多扣1分。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10. 镇（街道）综合文化站、村（居、社区）综合文化服务中心无线网络覆盖，在醒目位置制作悬挂显示有WIFI名称和密码的指示牌，并能正常使用。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文化站未设置的扣0.2分；每有一个村（居、社区）未设置的，扣0.05分，最多扣1分。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11. 按要求开展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乡村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文化合作社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建设，积极参与文化合作社小程序作品上传、“我的乡村文化合作社”才艺大赛等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小程序中星级评定在两星及两星以下的，每个合作社扣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0.2分；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小程序中星级评定在一星及一星以下的，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扣0.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12.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镇（街道）综合文化站免费开放资金按要求配套落实到位（镇级配套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1.6万元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未落实的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13. 按照《河南省村（社区）综合性文化服务中心建设和服务标准》要求，落实村（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居、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社区）综合性文化服务中心业务经费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，每个村（居、社区）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3000元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每有一个未落实的扣0.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分，最多扣1分。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14. 镇（街道）基层综合性文化服务中心人员配置2名以上。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不达标的扣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15. 村（居、社区）配备1名文化管理员（有岗位补贴）。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未落实文化管理员岗位补贴的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16. 镇（街道）、村（居、社区）建设基层文化中心志愿者队伍，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在中国文化和旅游志愿服务平台注册志愿者达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500人以上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未达标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的扣0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17.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每村（居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社区）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至少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一支文艺团队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每有一个未配备的扣0.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分，最多扣1分。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制定基层文化队伍培训计划，文化站、文化中心人员参加全市文化工作人员轮训，不少于5天；每年对辖区村（居、社区）文化专兼职人员轮训一遍，不少于5天。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参加全市文化工作人员轮训的，扣0.5分；未对辖区村（居、社区）文化专兼职人员轮训的，每少一个村（居、社区）扣0.02分，最多扣1分。培训计划、资料、照片不齐全的，视为未按要求组织、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center"/>
        <w:rPr>
          <w:rFonts w:ascii="楷体" w:hAnsi="楷体" w:eastAsia="楷体" w:cs="仿宋_GB2312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</w:rPr>
        <w:t>（二）各有关单位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（1）示范区管委会办公室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1.公共文化服务体系建设纳入政府重要议事日程，纳入对政府的考核指标体系，纳入政府目标管理责任制。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未纳入扣0.5分。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全年组织各公共文化协调领导小组成员单位召开会议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4次以上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少一次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扣0.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（2）示范区组织部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1.设置老年人活动中心。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未设置扣1分。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2.老年人活动中心按要求免费开放。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未按要求开放扣0.5分。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3.老年人活动中心设置有无障碍设施、无线网络覆盖、安全设施及制度，针对特殊人群的活动区设置和服务项目。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每有一项未设置扣0.1分。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4.老年人活动中心按照核定编制配备工作人员。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未按要求配备扣0.2分。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5.老年人活动中心建立文化服务志愿者队伍。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未建立扣0.1分。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6.老年人活动中心在职员工参加脱产培训时间每年不少于15天。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每有一位未达到培训时长扣0.05分，最多扣1分。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jc w:val="left"/>
        <w:textAlignment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（3）示范区党工委宣传部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1.公共文化服务体系建设纳入文明城市、文明村镇创建工作。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未纳入扣0.5分。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2.开展全民阅读推广活动，建立全民阅读指导委员会。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未开展活动扣0.2分，未建立委员会扣0.2分。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3.国家7个法定节假日及元宵节，组织开展文体活动。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少组织一次扣0.05分。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在省级以上媒体宣传公共文化工作。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未开展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扣0.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开展文化志愿者培训。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未开展培训扣0.1分。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（4）示范区发展改革和统计局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公共文化服务体系建设纳入当地国民经济和社会发展总体规划。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未纳入扣1分。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jc w:val="left"/>
        <w:textAlignment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（5）示范区教育体育局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设置体育馆，实现免费开放，室内进行体育比赛、体育锻炼的带有固定座位的建筑，有无障碍设施、无线网络覆盖、安全设施及制度，针对特殊人群的活动区设置和服务项目，建立群众文化需求反馈机制，场馆在职员工参加脱产培训时间每年不少于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每少一项未设置扣0.1分。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设置全民健身活动中心，实现免费开放，有无障碍设施、无线网络覆盖、安全设施及制度，针对特殊人群的活动区设置和服务项目，建立群众文化需求反馈机制，在职员工参加脱产培训时间每年不少于15天。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每少一项未设置扣0.1分。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.每四年内举办一届综合性体育运动会。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未举办扣0.2分。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.开展活动、赛事宣传。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未开展扣0.1分。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.建立文化服务志愿者队伍。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未建立扣0.1分。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（6）示范区财政金融局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1.公共文化服务体系建设纳入财政预算。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未纳入扣0.5分。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2.各类场馆（图书馆、文化馆、博物馆、体育馆、全民健身活动中心、科技馆、工人文化宫、纪念馆、青少年宫、妇女儿童活动中心、老年人活动中心）免费开放资金按要求配套。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每有一个未按要求配套扣0.1分，最多扣1分。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.设置图书馆购书专项经费。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未设置扣0.1分。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（7）示范区自然资源和规划局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公共文化服务体系建设纳入城乡整体建设规划。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未纳入扣1分。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jc w:val="left"/>
        <w:textAlignment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（8）示范区总工会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1.设置工人文化宫。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未设置扣1分。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2.工人文化宫按要求免费开放。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未按要求开放扣0.2分。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3.工人文化宫设置有无障碍设施、无线网络覆盖、安全设施及制度，针对特殊人群的活动区设置和服务项目。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每有一项未设置扣0.1分。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4.工人文化宫按照核定编制配备工作人员。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未按要求配备的扣0.1分。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5.工人文化宫建立文化服务志愿者队伍。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未建立扣0.1。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6.工人文化宫在职员工参加脱产培训时间每年不少于15天。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每有一位未达到培训时长扣0.05分，最多扣1分。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示范区团委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1.设置青少年活动中心。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jc w:val="left"/>
        <w:textAlignment w:val="center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未设置扣1分。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青少年活动中心按要求免费开放。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未按要求开放扣0.2分。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青少年活动中心设置有无障碍设施、无线网络覆盖、安全设施及制度，针对特殊人群的活动区设置和服务项目。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每有一项未设置扣0.1分。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青少年活动中心按照核定编制配备工作人员。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未按要求配备的扣0.1分。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青少年活动中心建立文化服务志愿者队伍。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未建立扣0.1。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青少年活动中心在职员工参加脱产培训时间每年不少于15天。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每有一位未达到培训时长扣0.05分，最多扣1分。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firstLine="642" w:firstLineChars="200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示范区妇联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1.设置妇女儿童活动中心。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未设置扣1分。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妇女儿童活动中心按要求免费开放。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未按要求开放扣0.2分。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妇女儿童活动中心设置有无障碍设施、无线网络覆盖、安全设施及制度，针对特殊人群的活动区设置和服务项目。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每有一项未设置扣0.1分。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妇女儿童活动中心按照核定编制配备工作人员。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未按要求配备的扣0.1分。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妇女儿童活动中心建立文化服务志愿者队伍。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未建立扣0.1。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妇女儿童活动中心在职员工参加脱产培训时间每年不少于15天。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每有一位未达到培训时长扣0.05分，最多扣1分。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（11）示范区科学技术协会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科技馆按要求免费开放。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未按要求开放扣0.2分。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科技馆设置有无障碍设施、无线网络覆盖、安全设施及制度，针对特殊人群的活动区设置和服务项目。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每有一项未设置扣0.1分。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科技馆按照核定编制配备工作人员。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未按要求配备的扣0.1分。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科技馆建立文化服务志愿者队伍。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未建立扣0.1。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科技馆在职员工参加脱产培训时间每年不少于15天。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每有一位未达到培训时长扣0.05分，最多扣1分。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1.以上单位均需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配合做好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年度省政府公共文化服务体系绩效考核工作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国家公共文化服务体系示范区复核迎检工作。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未配合扣1分。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2.每个单位最多扣一分。</w:t>
      </w:r>
    </w:p>
    <w:sectPr>
      <w:pgSz w:w="11906" w:h="16838"/>
      <w:pgMar w:top="1701" w:right="1531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894F9"/>
    <w:multiLevelType w:val="singleLevel"/>
    <w:tmpl w:val="DF7894F9"/>
    <w:lvl w:ilvl="0" w:tentative="0">
      <w:start w:val="9"/>
      <w:numFmt w:val="decimal"/>
      <w:suff w:val="nothing"/>
      <w:lvlText w:val="（%1）"/>
      <w:lvlJc w:val="left"/>
    </w:lvl>
  </w:abstractNum>
  <w:abstractNum w:abstractNumId="1">
    <w:nsid w:val="FF2E46E9"/>
    <w:multiLevelType w:val="singleLevel"/>
    <w:tmpl w:val="FF2E46E9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7F7FF020"/>
    <w:multiLevelType w:val="singleLevel"/>
    <w:tmpl w:val="7F7FF020"/>
    <w:lvl w:ilvl="0" w:tentative="0">
      <w:start w:val="1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3D9"/>
    <w:rsid w:val="000171EE"/>
    <w:rsid w:val="000A2E1D"/>
    <w:rsid w:val="000D710C"/>
    <w:rsid w:val="001021DC"/>
    <w:rsid w:val="00160E3E"/>
    <w:rsid w:val="00170E85"/>
    <w:rsid w:val="002845A0"/>
    <w:rsid w:val="002934D9"/>
    <w:rsid w:val="002A521F"/>
    <w:rsid w:val="002A5568"/>
    <w:rsid w:val="002B2A7F"/>
    <w:rsid w:val="002E14D9"/>
    <w:rsid w:val="00325A5A"/>
    <w:rsid w:val="00357322"/>
    <w:rsid w:val="00357794"/>
    <w:rsid w:val="003C7D44"/>
    <w:rsid w:val="003E2DE4"/>
    <w:rsid w:val="00406843"/>
    <w:rsid w:val="00447BE4"/>
    <w:rsid w:val="004E14EF"/>
    <w:rsid w:val="00503B78"/>
    <w:rsid w:val="00526ECE"/>
    <w:rsid w:val="00540C8F"/>
    <w:rsid w:val="00551558"/>
    <w:rsid w:val="00553D71"/>
    <w:rsid w:val="0056576F"/>
    <w:rsid w:val="005F1BC5"/>
    <w:rsid w:val="0063291C"/>
    <w:rsid w:val="00634A82"/>
    <w:rsid w:val="00650B9B"/>
    <w:rsid w:val="006A12F9"/>
    <w:rsid w:val="006D0334"/>
    <w:rsid w:val="00711841"/>
    <w:rsid w:val="00734005"/>
    <w:rsid w:val="0077073E"/>
    <w:rsid w:val="007B3F86"/>
    <w:rsid w:val="007B6804"/>
    <w:rsid w:val="007C173A"/>
    <w:rsid w:val="00854D0F"/>
    <w:rsid w:val="008854FE"/>
    <w:rsid w:val="008E2476"/>
    <w:rsid w:val="009056A5"/>
    <w:rsid w:val="00920807"/>
    <w:rsid w:val="00976B58"/>
    <w:rsid w:val="00A20265"/>
    <w:rsid w:val="00AE3A46"/>
    <w:rsid w:val="00AF0D5B"/>
    <w:rsid w:val="00B55FB9"/>
    <w:rsid w:val="00B825CE"/>
    <w:rsid w:val="00B97253"/>
    <w:rsid w:val="00BD28C5"/>
    <w:rsid w:val="00BD7DAA"/>
    <w:rsid w:val="00C803D9"/>
    <w:rsid w:val="00CA691F"/>
    <w:rsid w:val="00CA6F72"/>
    <w:rsid w:val="00CB6336"/>
    <w:rsid w:val="00D46CB6"/>
    <w:rsid w:val="00D75774"/>
    <w:rsid w:val="00DB033E"/>
    <w:rsid w:val="00DB24F6"/>
    <w:rsid w:val="00DB4059"/>
    <w:rsid w:val="00E3079C"/>
    <w:rsid w:val="00E60F60"/>
    <w:rsid w:val="00F07834"/>
    <w:rsid w:val="00F76CFA"/>
    <w:rsid w:val="00FF18D6"/>
    <w:rsid w:val="01183E2E"/>
    <w:rsid w:val="0B840AE5"/>
    <w:rsid w:val="15EF745C"/>
    <w:rsid w:val="3E421071"/>
    <w:rsid w:val="3EED3C88"/>
    <w:rsid w:val="3EFF7E24"/>
    <w:rsid w:val="3FC5889F"/>
    <w:rsid w:val="4D7D88B5"/>
    <w:rsid w:val="56F6040C"/>
    <w:rsid w:val="5FE47B2B"/>
    <w:rsid w:val="6EF67579"/>
    <w:rsid w:val="6F5F3560"/>
    <w:rsid w:val="76CFC3B7"/>
    <w:rsid w:val="78BF378A"/>
    <w:rsid w:val="7B270D43"/>
    <w:rsid w:val="7DAFC223"/>
    <w:rsid w:val="7DE5E977"/>
    <w:rsid w:val="7EF87114"/>
    <w:rsid w:val="7F5E2F5B"/>
    <w:rsid w:val="7F7D80EB"/>
    <w:rsid w:val="7FFFD132"/>
    <w:rsid w:val="852F2DA8"/>
    <w:rsid w:val="9EFF9348"/>
    <w:rsid w:val="ABBF75C6"/>
    <w:rsid w:val="B37F0A97"/>
    <w:rsid w:val="B4B7D2E8"/>
    <w:rsid w:val="BF7BCFA2"/>
    <w:rsid w:val="BF8E0676"/>
    <w:rsid w:val="BFFDE1F3"/>
    <w:rsid w:val="CF4FE7B5"/>
    <w:rsid w:val="CFE5A283"/>
    <w:rsid w:val="E9FBE6CF"/>
    <w:rsid w:val="EDE761CA"/>
    <w:rsid w:val="EEDF334E"/>
    <w:rsid w:val="F1BB596B"/>
    <w:rsid w:val="F1ECFC7A"/>
    <w:rsid w:val="F37F1414"/>
    <w:rsid w:val="F5BE3CE5"/>
    <w:rsid w:val="FBE756D5"/>
    <w:rsid w:val="FDF777CD"/>
    <w:rsid w:val="FF06A1C4"/>
    <w:rsid w:val="FF7B4EFF"/>
    <w:rsid w:val="FFBE17DD"/>
    <w:rsid w:val="FFDDF0E9"/>
    <w:rsid w:val="FFE5BE63"/>
    <w:rsid w:val="FF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11</Pages>
  <Words>3525</Words>
  <Characters>3804</Characters>
  <Lines>30</Lines>
  <Paragraphs>8</Paragraphs>
  <TotalTime>15</TotalTime>
  <ScaleCrop>false</ScaleCrop>
  <LinksUpToDate>false</LinksUpToDate>
  <CharactersWithSpaces>3835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2020-09-19T03:40:00Z</dcterms:created>
  <dc:creator>zzy</dc:creator>
  <cp:lastModifiedBy>greatwall</cp:lastModifiedBy>
  <cp:lastPrinted>2020-09-17T01:22:00Z</cp:lastPrinted>
  <dcterms:modified xsi:type="dcterms:W3CDTF">2023-08-03T17:38:02Z</dcterms:modified>
  <dc:title>济源市2018年度文化工作考核办法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