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kinsoku/>
        <w:wordWrap/>
        <w:overflowPunct/>
        <w:topLinePunct w:val="0"/>
        <w:autoSpaceDE/>
        <w:autoSpaceDN w:val="0"/>
        <w:bidi w:val="0"/>
        <w:adjustRightInd/>
        <w:snapToGrid/>
        <w:spacing w:before="0" w:after="0" w:line="590" w:lineRule="exact"/>
        <w:ind w:left="0" w:leftChars="0" w:right="0" w:firstLine="0" w:firstLineChars="0"/>
        <w:jc w:val="left"/>
        <w:textAlignment w:val="auto"/>
        <w:rPr>
          <w:rFonts w:hint="eastAsia" w:ascii="宋体" w:hAnsi="宋体" w:eastAsia="黑体" w:cs="黑体"/>
          <w:b w:val="0"/>
          <w:bCs w:val="0"/>
          <w:color w:val="auto"/>
          <w:sz w:val="32"/>
          <w:szCs w:val="32"/>
          <w:lang w:val="en-US" w:eastAsia="zh-CN"/>
        </w:rPr>
      </w:pPr>
      <w:bookmarkStart w:id="0" w:name="_GoBack"/>
      <w:bookmarkEnd w:id="0"/>
      <w:r>
        <w:rPr>
          <w:rFonts w:hint="eastAsia" w:ascii="宋体" w:hAnsi="宋体" w:eastAsia="黑体" w:cs="黑体"/>
          <w:b w:val="0"/>
          <w:bCs w:val="0"/>
          <w:color w:val="auto"/>
          <w:sz w:val="32"/>
          <w:szCs w:val="32"/>
          <w:lang w:val="en-US" w:eastAsia="zh-CN"/>
        </w:rPr>
        <w:t>附 件</w:t>
      </w:r>
    </w:p>
    <w:p>
      <w:pPr>
        <w:pStyle w:val="17"/>
        <w:keepNext w:val="0"/>
        <w:keepLines w:val="0"/>
        <w:pageBreakBefore w:val="0"/>
        <w:widowControl/>
        <w:kinsoku/>
        <w:wordWrap/>
        <w:overflowPunct/>
        <w:topLinePunct w:val="0"/>
        <w:autoSpaceDE/>
        <w:autoSpaceDN w:val="0"/>
        <w:bidi w:val="0"/>
        <w:adjustRightInd/>
        <w:snapToGrid/>
        <w:spacing w:before="0" w:after="0" w:line="400" w:lineRule="exact"/>
        <w:ind w:left="0" w:leftChars="0" w:right="0" w:firstLine="0" w:firstLineChars="0"/>
        <w:jc w:val="center"/>
        <w:textAlignment w:val="auto"/>
        <w:rPr>
          <w:rFonts w:hint="eastAsia" w:ascii="宋体" w:hAnsi="宋体" w:eastAsia="方正小标宋简体" w:cs="方正小标宋简体"/>
          <w:b w:val="0"/>
          <w:bCs w:val="0"/>
          <w:color w:val="auto"/>
          <w:sz w:val="44"/>
          <w:szCs w:val="44"/>
          <w:lang w:val="en-US" w:eastAsia="zh-CN"/>
        </w:rPr>
      </w:pPr>
    </w:p>
    <w:p>
      <w:pPr>
        <w:pStyle w:val="17"/>
        <w:keepNext w:val="0"/>
        <w:keepLines w:val="0"/>
        <w:pageBreakBefore w:val="0"/>
        <w:widowControl/>
        <w:kinsoku/>
        <w:wordWrap/>
        <w:overflowPunct/>
        <w:topLinePunct w:val="0"/>
        <w:autoSpaceDE/>
        <w:autoSpaceDN w:val="0"/>
        <w:bidi w:val="0"/>
        <w:adjustRightInd/>
        <w:snapToGrid/>
        <w:spacing w:before="0" w:after="0" w:line="700" w:lineRule="exact"/>
        <w:ind w:left="0" w:leftChars="0" w:right="0" w:firstLine="0" w:firstLineChars="0"/>
        <w:jc w:val="center"/>
        <w:textAlignment w:val="auto"/>
        <w:rPr>
          <w:rFonts w:hint="eastAsia" w:ascii="宋体" w:hAnsi="宋体" w:eastAsia="方正小标宋简体" w:cs="方正小标宋简体"/>
          <w:b w:val="0"/>
          <w:bCs w:val="0"/>
          <w:color w:val="auto"/>
          <w:sz w:val="44"/>
          <w:szCs w:val="44"/>
          <w:lang w:val="en-US" w:eastAsia="zh-CN"/>
        </w:rPr>
      </w:pPr>
      <w:r>
        <w:rPr>
          <w:rFonts w:hint="eastAsia" w:ascii="宋体" w:hAnsi="宋体" w:eastAsia="方正小标宋简体" w:cs="方正小标宋简体"/>
          <w:b w:val="0"/>
          <w:bCs w:val="0"/>
          <w:color w:val="auto"/>
          <w:sz w:val="44"/>
          <w:szCs w:val="44"/>
          <w:lang w:val="en-US" w:eastAsia="zh-CN"/>
        </w:rPr>
        <w:t>2023年文化广电和旅游局工作要点</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2023年济源示范区文化广电和旅游局工作的总体要求是：坚持以习近平新时代中国特色社会主义思想为指导，全面贯彻落实党的二十大精神，贯彻落实学习习近平总书记视察河南和关于文化旅游工作重要指示批示精神，聚焦举旗帜、聚民心、育新人、兴文化、展形象建设社会主义文化强国使命任务，坚持以文塑旅、以旅彰文，大力实施文旅文创融合战略。着力塑造“愚公故里 山水济源”文旅品牌，奋力推进文化和旅游高质量发展，为建设创新型高品质现代化示范区、全面建设社会主义现代化济源贡献文旅力量。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黑体" w:cs="黑体"/>
          <w:b w:val="0"/>
          <w:bCs w:val="0"/>
          <w:sz w:val="32"/>
          <w:szCs w:val="32"/>
          <w:lang w:val="en-US" w:eastAsia="zh-CN"/>
        </w:rPr>
        <w:t>一、认真学习宣传贯彻党的二十大精神。</w:t>
      </w:r>
      <w:r>
        <w:rPr>
          <w:rFonts w:hint="eastAsia" w:ascii="宋体" w:hAnsi="宋体" w:eastAsia="仿宋_GB2312" w:cs="仿宋_GB2312"/>
          <w:b w:val="0"/>
          <w:bCs w:val="0"/>
          <w:color w:val="auto"/>
          <w:sz w:val="32"/>
          <w:szCs w:val="32"/>
          <w:lang w:val="en-US" w:eastAsia="zh-CN"/>
        </w:rPr>
        <w:t>把学习宣传贯彻党的二十大精神作为贯穿全年工作的主线，制定学习宣传贯彻党的二十大精神实施方案，采取多种方式推动学习往深里走、往实里走、往心里走，教育引导干部职工深刻领悟“两个确立”的决定性意义，增强“四个意识”、坚定“四个自信”、做到“两个维护”。发挥文旅特色优势，动员广大文艺工作者，运用戏剧、美术、曲艺、音乐、舞蹈、书法等群众喜闻乐见的形式，推动党的二十大精神进企业、进农村、进机关、进校园、进社区。发挥“老家河南”新媒体矩阵传播优势，紧紧围绕党的二十大精神的解读和宣贯，采用互动化传播、沉浸式体验等方式，开展全方位、多角度、立体式的宣传报道。</w:t>
      </w:r>
    </w:p>
    <w:p>
      <w:pPr>
        <w:pStyle w:val="11"/>
        <w:keepNext w:val="0"/>
        <w:keepLines w:val="0"/>
        <w:pageBreakBefore w:val="0"/>
        <w:widowControl w:val="0"/>
        <w:kinsoku/>
        <w:wordWrap/>
        <w:overflowPunct/>
        <w:topLinePunct w:val="0"/>
        <w:autoSpaceDE/>
        <w:autoSpaceDN/>
        <w:bidi w:val="0"/>
        <w:adjustRightInd/>
        <w:snapToGrid/>
        <w:spacing w:after="0" w:afterLines="0" w:line="590" w:lineRule="exact"/>
        <w:ind w:firstLine="640" w:firstLineChars="20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kern w:val="2"/>
          <w:sz w:val="32"/>
          <w:szCs w:val="32"/>
          <w:lang w:val="en-US" w:eastAsia="zh-CN" w:bidi="ar-SA"/>
        </w:rPr>
        <w:t>二、丰富文旅产品供给。</w:t>
      </w:r>
      <w:r>
        <w:rPr>
          <w:rFonts w:hint="eastAsia" w:ascii="宋体" w:hAnsi="宋体" w:eastAsia="仿宋_GB2312" w:cs="仿宋_GB2312"/>
          <w:b w:val="0"/>
          <w:bCs w:val="0"/>
          <w:color w:val="auto"/>
          <w:kern w:val="2"/>
          <w:sz w:val="32"/>
          <w:szCs w:val="32"/>
          <w:lang w:val="en-US" w:eastAsia="zh-CN" w:bidi="ar-SA"/>
        </w:rPr>
        <w:t>一是启动王屋山国家5A级旅游景区创建工作。编制创建提升规划，全方位指导创建工作；对照国家标准，全面开展硬件建设、服务提升和申报资料编写等工作；二是做好首批国家全域旅游示范区复核迎检。对照国家全域旅游示范区标准，重点做好公共服务、服务质量、环境秩序、品牌营销四个方面提升工作；三是推进河南省乡村康养示范村创建。主动融入乡村振兴战略，推进承留镇花石村、王屋镇愚公村等14个村创建河南省乡村康养旅游示范村，在康养业态培育、乡村文化传承、乡村产业运营方面实现提升和突破，年内力争创建1-2个河南省乡村康养旅游示范村；四是推进王屋老街创建国家级旅游休闲街区。与王屋山国家5A级景区创建、第二批夜间消费集聚区创建相结合，补短板，强弱项，优化业态布局，突出文旅特色，强化管理服务，适应游客需求，加大王屋老街国家级旅游休闲街区创建工作力度。五是实施交旅融合、农旅融合、工旅融合工程。协同交通、农业农村、乡村振兴部门，完成规划编制，融入文化元素和旅游功能，形成以道路为纽带的全域线性景观带，推进承留镇大沟河精品民宿等7个乡村康养旅游项目建设。指导济源食品饮品产业园编制规划、完善设施、提升服务、创新营销，初步具备国家级工业旅游示范基地的条件；六是大力推动文化赋能。</w:t>
      </w:r>
      <w:r>
        <w:rPr>
          <w:rFonts w:hint="eastAsia" w:ascii="宋体" w:hAnsi="宋体" w:eastAsia="仿宋_GB2312" w:cs="仿宋_GB2312"/>
          <w:b w:val="0"/>
          <w:bCs w:val="0"/>
          <w:color w:val="auto"/>
          <w:kern w:val="2"/>
          <w:sz w:val="32"/>
          <w:szCs w:val="32"/>
          <w:lang w:val="en" w:eastAsia="zh-CN" w:bidi="ar-SA"/>
        </w:rPr>
        <w:t>抓好省级“文化产业特派员”试点市建设，</w:t>
      </w:r>
      <w:r>
        <w:rPr>
          <w:rFonts w:hint="eastAsia" w:ascii="宋体" w:hAnsi="宋体" w:eastAsia="仿宋_GB2312" w:cs="仿宋_GB2312"/>
          <w:b w:val="0"/>
          <w:bCs w:val="0"/>
          <w:color w:val="auto"/>
          <w:kern w:val="2"/>
          <w:sz w:val="32"/>
          <w:szCs w:val="32"/>
          <w:lang w:val="en-US" w:eastAsia="zh-CN" w:bidi="ar-SA"/>
        </w:rPr>
        <w:t>探索济源市乡村振兴的实现路径，打造济源“文旅发展推动乡村振兴”的特色路径。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黑体" w:cs="黑体"/>
          <w:b w:val="0"/>
          <w:bCs w:val="0"/>
          <w:sz w:val="32"/>
          <w:szCs w:val="32"/>
          <w:lang w:val="en-US" w:eastAsia="zh-CN"/>
        </w:rPr>
        <w:t>三、塑造“愚公故里·山水济源”文旅品牌体系。</w:t>
      </w:r>
      <w:r>
        <w:rPr>
          <w:rFonts w:hint="eastAsia" w:ascii="宋体" w:hAnsi="宋体" w:eastAsia="仿宋_GB2312" w:cs="仿宋_GB2312"/>
          <w:b w:val="0"/>
          <w:bCs w:val="0"/>
          <w:color w:val="auto"/>
          <w:sz w:val="32"/>
          <w:szCs w:val="32"/>
          <w:lang w:val="en-US" w:eastAsia="zh-CN"/>
        </w:rPr>
        <w:t>一是谋划文旅发展大会。筹备2023年文化旅游产业发展大会，高起点谋划、高标准要求、高质量发展，借助大会展示济源特色文旅资源，助力疫后文旅市场恢复。二是推动主流媒体出圈出彩。围绕打造“愚公移山 山水济源”文旅IP，紧盯央视、省级主流媒体，加强宣传推介，助力王屋山云海、红叶、“中原看海”等美景再次“出圈”。三是扩大市场辐射范围。深挖“济水文化”，讲好“济水故事”，做深做透山东济南市场；以济源300公里为半径，以山东、河北、山西、陕西为主要省外市场，沟通市场渠道网，实现引流10万人次；借郑州都市圈以及洛济融合合作平台，全方位宣传济源特色文旅品牌。四是办好两个重要活动。立足森林步道资源优势，深化文体旅产业融合，积极谋划“第二届穿越壮美太行国际徒步大会”，深化“太行山森林步道南起点”、“愚公移山精神发源地”等济源标识；持续办好中国济源·国际白银文化节，通过节会带动，优化经济效益，推动白银产业与文旅文创相结合，打响“中国银都”招牌；五是推出一批精品研学课程。依托示范性综合实践基地、卢仝茶园、五龙口景区（朱德出太行）、愚公移山红色教育基地等，打造一批研学旅行样板课程；六是加强特色节会塑造。以讲好“黄河故事”深入挖掘黄河文化蕴含的时代价值为导向，积极指导沿黄景区举办好小浪底“黄河观鸟节”、黄河三峡“黄河母亲节”等节会活动。指导A级景区及乡村旅游热点区域开展好小沟背“女娲文化节”、梨林梨花节、承留镇蟠桃采摘节等文化旅游节会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kern w:val="2"/>
          <w:sz w:val="32"/>
          <w:szCs w:val="32"/>
          <w:lang w:val="en-US" w:eastAsia="zh-CN" w:bidi="ar-SA"/>
        </w:rPr>
        <w:t>四、加强文化遗产保护利用。</w:t>
      </w:r>
      <w:r>
        <w:rPr>
          <w:rFonts w:hint="eastAsia" w:ascii="宋体" w:hAnsi="宋体" w:eastAsia="仿宋_GB2312" w:cs="仿宋_GB2312"/>
          <w:b w:val="0"/>
          <w:bCs w:val="0"/>
          <w:color w:val="auto"/>
          <w:kern w:val="2"/>
          <w:sz w:val="32"/>
          <w:szCs w:val="32"/>
          <w:lang w:val="en-US" w:eastAsia="zh-CN" w:bidi="ar-SA"/>
        </w:rPr>
        <w:t>一是做好文物保护利用工作。推动实施延庆寺塔抢险修缮工程、阳台宫抢险修缮工程、二仙庙修缮工程等，推动完成高庄万寿宫修缮方案、北官庄葛家祠堂修缮方案评审、资金申请等工作。编制盘谷寺等文物保护单位修缮方案。推进《济源济渎庙渊德门、长生阁等5座单体建筑及唐墙保护修缮工程》立项，2023年编制完成设计方案。对阳台宫的石刻、彩绘壁画、东西厢房木柱油饰防腐等进行统筹谋划申请保护立项。二是加强安防工程建设和利用。推进五龙口古代水利设施安防工程、大明寺消防升级改造工程、迎恩宫安全防范工程建设，并充分利用已建成的济源市文物保护联网监控平台，做好正常运转、应急响应、运维等工作。三是开展“让文物活起来”系列活动。开展好文化和自然遗产日宣传活动，组织文物大讲堂、文物进校园、进社区，文物宣传车等活动，并邀请各机关单位、学校走近文物，开展好共建活动。四是做好非物质文化遗产保护传承工作。利用“文化和自然遗产日”，推进省级非遗代表性项目黄河船工号子、王屋琴书等节目的展演展示，积极宣传普及非遗知识和“见人见物见生活”的保护理念，大力弘扬中华民族优秀传统文化，鼓励广大人民群众共同参与、关注和保护传承优秀传统文化的自觉行为，推进非遗保护工作再上新台阶。</w:t>
      </w:r>
    </w:p>
    <w:p>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黑体" w:cs="黑体"/>
          <w:b w:val="0"/>
          <w:bCs w:val="0"/>
          <w:sz w:val="32"/>
          <w:szCs w:val="32"/>
          <w:lang w:val="en-US" w:eastAsia="zh-CN"/>
        </w:rPr>
        <w:t>五、繁荣艺术创作。</w:t>
      </w:r>
      <w:r>
        <w:rPr>
          <w:rFonts w:hint="eastAsia" w:ascii="宋体" w:hAnsi="宋体" w:eastAsia="仿宋_GB2312" w:cs="仿宋_GB2312"/>
          <w:b w:val="0"/>
          <w:bCs w:val="0"/>
          <w:color w:val="auto"/>
          <w:sz w:val="32"/>
          <w:szCs w:val="32"/>
          <w:lang w:val="en-US" w:eastAsia="zh-CN"/>
        </w:rPr>
        <w:t>以学习宣传贯彻党的二十大精神为主线，继续实施艺术精品创作工程。一是打造大型原创音乐剧《愚公移山》。进一步宣传弘扬愚公移山精神，打造济源文化名片。强化与北京大学民族音乐与音乐剧研究中心合作，力争于2023年5月1日前完成首演。二是加工提高现代豫剧《河清渡》。邀请更高层次的编剧、导演及舞美设计等对剧进行全方位的加工提升，将其打造成一部经得起时间考验的红色精品剧目，增加20场“送戏下乡”展演场次，并作为参赛剧目参加2023年度省内外各项戏剧类赛事。三是谋划打造现代豫剧《十字花开》。谋划打造一部集传承红色基因与乡村振兴为主题的现代豫剧《十字花开》，深入挖掘济源乡村振兴工作中的典型案例，体现当代愚公移山精神，延续红色文化，坚定文化自信。四是开展红色教育题材儿童剧《七色花》展演活动。与教育部门深度合作，将展演活动与研学活动、红色主题教育有机结合，深度挖掘济源青少年文化市场资源，不断为广大市民提供高品质的精神文化食粮。</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kern w:val="2"/>
          <w:sz w:val="32"/>
          <w:szCs w:val="32"/>
          <w:lang w:val="en-US" w:eastAsia="zh-CN" w:bidi="ar-SA"/>
        </w:rPr>
        <w:t>六、提升公共文化服务效能。</w:t>
      </w:r>
      <w:r>
        <w:rPr>
          <w:rFonts w:hint="eastAsia" w:ascii="宋体" w:hAnsi="宋体" w:eastAsia="仿宋_GB2312" w:cs="仿宋_GB2312"/>
          <w:b w:val="0"/>
          <w:bCs w:val="0"/>
          <w:color w:val="auto"/>
          <w:kern w:val="2"/>
          <w:sz w:val="32"/>
          <w:szCs w:val="32"/>
          <w:lang w:val="en-US" w:eastAsia="zh-CN" w:bidi="ar-SA"/>
        </w:rPr>
        <w:t>一是开展群众文化活动。宣传贯彻党的二十大精神。通过举办“志愿服务乡村行”、“全民阅读”等群众文化活动，宣传贯彻党的二十大精神。二是推进城市书房、文化合作社建设。加快进程，积极申请财政资金用于购买图书和设备，争取新建5座城市书房尽快建成并投入使用；出台《关于乡村文化合作社运行管理的补充意见》，完善等级评定和服务效能考核办法，对辖区内的文化合作社开展等级评定，对2022年度已定级的26家文化合作社开展绩效考评。三是推进图文两馆总分馆建设。依托文化馆分馆，开展“非遗民俗闹新春 百场文化配送喜乐汇”主题文化配送活动。拓展文化馆社会化分馆覆盖范围，将文化配送活动向特色书店、商场、企业等场所延伸。在景区、乡村旅游点设置图书馆分馆或特色服务点配送图书和电子借阅设备，推进文旅融合，延伸图书馆服务半径。探索与银行、学校、企业、小区物业等合作打造嵌入式“小而美”的公共阅读空间，为市民提供现场阅读、扫码听书、扫码借阅电子书等随时可享的文化服务。四是强化文化品牌打造。开展“济渎之韵”系列惠民文化活动，依托艺术广场舞大赛、文化合作社大赛、戏曲展演等群众文化活动，继续加大“济渎之韵”品牌影响。完善升级“悦读分享汇”线上阅读活动，打造“悦读分享汇”有声读物品牌。继续开展“文化润童心”系列活动，用科技、艺术、阅读等形式在潜移默化中群润未成年人心灵。</w:t>
      </w:r>
    </w:p>
    <w:p>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sz w:val="32"/>
          <w:szCs w:val="32"/>
          <w:lang w:val="en-US" w:eastAsia="zh-CN"/>
        </w:rPr>
        <w:t>七、提振恢复文旅市场。</w:t>
      </w:r>
      <w:r>
        <w:rPr>
          <w:rFonts w:hint="eastAsia" w:ascii="宋体" w:hAnsi="宋体" w:eastAsia="仿宋_GB2312" w:cs="仿宋_GB2312"/>
          <w:b w:val="0"/>
          <w:bCs w:val="0"/>
          <w:color w:val="auto"/>
          <w:kern w:val="2"/>
          <w:sz w:val="32"/>
          <w:szCs w:val="32"/>
          <w:lang w:val="en-US" w:eastAsia="zh-CN" w:bidi="ar-SA"/>
        </w:rPr>
        <w:t>一是建立健全文化和旅游投融资项目库，强化与中国人民银行济源市中心运行合作，对文旅行业中小微企业加大信贷投入，合理降低新发放借款利率，减轻企业经营成本压力。二是贯彻执行《济源示范区2023年大力提振市场信心促进经济稳定向好政策措施》，进一步激发文旅消费活力。三是推进文旅新业态发展，促进文旅产业深度融合。</w:t>
      </w:r>
      <w:r>
        <w:rPr>
          <w:rFonts w:hint="eastAsia" w:ascii="宋体" w:hAnsi="宋体" w:eastAsia="仿宋_GB2312" w:cs="仿宋_GB2312"/>
          <w:b w:val="0"/>
          <w:bCs w:val="0"/>
          <w:sz w:val="32"/>
          <w:szCs w:val="32"/>
          <w:lang w:val="en-US" w:eastAsia="zh-CN"/>
        </w:rPr>
        <w:t>推进王屋山和那些年小镇康养集群建设；推进济源市全域旅游、</w:t>
      </w:r>
      <w:r>
        <w:rPr>
          <w:rFonts w:hint="eastAsia" w:ascii="宋体" w:hAnsi="宋体" w:eastAsia="仿宋_GB2312" w:cs="仿宋_GB2312"/>
          <w:b w:val="0"/>
          <w:bCs w:val="0"/>
          <w:sz w:val="32"/>
          <w:szCs w:val="32"/>
        </w:rPr>
        <w:t>济源小浪底·荣盛一品原乡、平安驿-古济水商业文化综合项目</w:t>
      </w:r>
      <w:r>
        <w:rPr>
          <w:rFonts w:hint="eastAsia" w:ascii="宋体" w:hAnsi="宋体" w:eastAsia="仿宋_GB2312" w:cs="仿宋_GB2312"/>
          <w:b w:val="0"/>
          <w:bCs w:val="0"/>
          <w:sz w:val="32"/>
          <w:szCs w:val="32"/>
          <w:lang w:val="en"/>
        </w:rPr>
        <w:t>、</w:t>
      </w:r>
      <w:r>
        <w:rPr>
          <w:rFonts w:hint="eastAsia" w:ascii="宋体" w:hAnsi="宋体" w:eastAsia="仿宋_GB2312" w:cs="仿宋_GB2312"/>
          <w:b w:val="0"/>
          <w:bCs w:val="0"/>
          <w:sz w:val="32"/>
          <w:szCs w:val="32"/>
          <w:lang w:val="en-US" w:eastAsia="zh-CN"/>
        </w:rPr>
        <w:t>中原篮球文化产业园</w:t>
      </w:r>
      <w:r>
        <w:rPr>
          <w:rFonts w:hint="eastAsia" w:ascii="宋体" w:hAnsi="宋体" w:eastAsia="仿宋_GB2312" w:cs="仿宋_GB2312"/>
          <w:b w:val="0"/>
          <w:bCs w:val="0"/>
          <w:sz w:val="32"/>
          <w:szCs w:val="32"/>
          <w:lang w:val="en" w:eastAsia="zh-CN"/>
        </w:rPr>
        <w:t>项目</w:t>
      </w:r>
      <w:r>
        <w:rPr>
          <w:rFonts w:hint="eastAsia" w:ascii="宋体" w:hAnsi="宋体" w:eastAsia="仿宋_GB2312" w:cs="仿宋_GB2312"/>
          <w:b w:val="0"/>
          <w:bCs w:val="0"/>
          <w:sz w:val="32"/>
          <w:szCs w:val="32"/>
        </w:rPr>
        <w:t>建设</w:t>
      </w:r>
      <w:r>
        <w:rPr>
          <w:rFonts w:hint="eastAsia" w:ascii="宋体" w:hAnsi="宋体" w:eastAsia="仿宋_GB2312" w:cs="仿宋_GB2312"/>
          <w:b w:val="0"/>
          <w:bCs w:val="0"/>
          <w:sz w:val="32"/>
          <w:szCs w:val="32"/>
          <w:lang w:val="en"/>
        </w:rPr>
        <w:t>；</w:t>
      </w:r>
      <w:r>
        <w:rPr>
          <w:rFonts w:hint="eastAsia" w:ascii="宋体" w:hAnsi="宋体" w:eastAsia="仿宋_GB2312" w:cs="仿宋_GB2312"/>
          <w:b w:val="0"/>
          <w:bCs w:val="0"/>
          <w:sz w:val="32"/>
          <w:szCs w:val="32"/>
        </w:rPr>
        <w:t>打造思礼镇竹苑公社、济水街道办事处一家亲文旅城等一批新业态项目</w:t>
      </w:r>
      <w:r>
        <w:rPr>
          <w:rFonts w:hint="eastAsia" w:ascii="宋体" w:hAnsi="宋体" w:eastAsia="仿宋_GB2312" w:cs="仿宋_GB2312"/>
          <w:b w:val="0"/>
          <w:bCs w:val="0"/>
          <w:sz w:val="32"/>
          <w:szCs w:val="32"/>
          <w:lang w:eastAsia="zh-CN"/>
        </w:rPr>
        <w:t>。四是</w:t>
      </w:r>
      <w:r>
        <w:rPr>
          <w:rFonts w:hint="eastAsia" w:ascii="宋体" w:hAnsi="宋体" w:eastAsia="仿宋_GB2312" w:cs="仿宋_GB2312"/>
          <w:b w:val="0"/>
          <w:bCs w:val="0"/>
          <w:color w:val="auto"/>
          <w:kern w:val="2"/>
          <w:sz w:val="32"/>
          <w:szCs w:val="32"/>
          <w:lang w:val="en-US" w:eastAsia="zh-CN" w:bidi="ar-SA"/>
        </w:rPr>
        <w:t>推动文化和旅游产业之间，文化、旅游与其他产业之间，文旅产业与文旅公共服务之间的深度融合，积极申报河南省文化产业和旅游产业融合发展示范区。</w:t>
      </w:r>
    </w:p>
    <w:p>
      <w:pPr>
        <w:pStyle w:val="4"/>
        <w:keepNext w:val="0"/>
        <w:keepLines w:val="0"/>
        <w:pageBreakBefore w:val="0"/>
        <w:widowControl w:val="0"/>
        <w:kinsoku/>
        <w:wordWrap/>
        <w:overflowPunct/>
        <w:topLinePunct w:val="0"/>
        <w:autoSpaceDE/>
        <w:autoSpaceDN/>
        <w:bidi w:val="0"/>
        <w:adjustRightInd w:val="0"/>
        <w:snapToGrid w:val="0"/>
        <w:spacing w:line="590" w:lineRule="exact"/>
        <w:ind w:firstLine="64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kern w:val="2"/>
          <w:sz w:val="32"/>
          <w:szCs w:val="32"/>
          <w:lang w:val="en-US" w:eastAsia="zh-CN" w:bidi="ar-SA"/>
        </w:rPr>
        <w:t>八、提升文旅行业监管水平。</w:t>
      </w:r>
      <w:r>
        <w:rPr>
          <w:rFonts w:hint="eastAsia" w:ascii="宋体" w:hAnsi="宋体" w:eastAsia="仿宋_GB2312" w:cs="仿宋_GB2312"/>
          <w:b w:val="0"/>
          <w:bCs w:val="0"/>
          <w:color w:val="auto"/>
          <w:kern w:val="2"/>
          <w:sz w:val="32"/>
          <w:szCs w:val="32"/>
          <w:lang w:val="en-US" w:eastAsia="zh-CN" w:bidi="ar-SA"/>
        </w:rPr>
        <w:t>一是加强行业管理。加快推进旅行社、星级饭店转型升级，加强对体验式演艺、沉浸式娱乐、在线演出、电竞酒店等新业态新模式的管理和服务。二是持续优化营商环境。纵深推进“放管服”改革，推动涉事企业“一网通办”，促进市场公平竞争。提升监管能力，落实《文化和旅游市场信用管理规定》，加强文化和旅游市场信用体系建设。健全安全生产保障体系，深入推进文明旅游。三是强化文化市场综合执法专项整治。开展文娱领域综合治理，规范网络表演、演出经纪活动，组织开展演出市场专项执法行动，开展重要时段、重要节日专项整治。加大集中办案、以案施训力度，做好重大案件督办。四是持续加强执法队伍建设。积极开展线上线下培训活动。落实“扫黄打非”工作任务，加强文化市场执法检查，开展文化市场综合执法“闪电”系列行动和文化市场交叉检查活动，开展“双随机一公开”执法检查、文化市场常态化“体检式”暗访评估活动，维护文化市场经营秩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黑体" w:cs="黑体"/>
          <w:b w:val="0"/>
          <w:bCs w:val="0"/>
          <w:sz w:val="32"/>
          <w:szCs w:val="32"/>
          <w:lang w:val="en-US" w:eastAsia="zh-CN"/>
        </w:rPr>
        <w:t>九、强化支撑保障能力。</w:t>
      </w:r>
      <w:r>
        <w:rPr>
          <w:rFonts w:hint="eastAsia" w:ascii="宋体" w:hAnsi="宋体" w:eastAsia="仿宋_GB2312" w:cs="仿宋_GB2312"/>
          <w:b w:val="0"/>
          <w:bCs w:val="0"/>
          <w:color w:val="auto"/>
          <w:sz w:val="32"/>
          <w:szCs w:val="32"/>
          <w:lang w:val="en-US" w:eastAsia="zh-CN"/>
        </w:rPr>
        <w:t>一是推进系统法治建设。推动十四五规划落到实处。积极推进重塑性改革、国有文艺院团改革等重点任务。二是</w:t>
      </w:r>
      <w:r>
        <w:rPr>
          <w:rFonts w:hint="eastAsia" w:ascii="宋体" w:hAnsi="宋体" w:eastAsia="仿宋_GB2312" w:cs="仿宋_GB2312"/>
          <w:b w:val="0"/>
          <w:bCs w:val="0"/>
          <w:color w:val="auto"/>
          <w:sz w:val="32"/>
          <w:szCs w:val="32"/>
          <w:lang w:val="en" w:eastAsia="zh-CN"/>
        </w:rPr>
        <w:t>建设济源智慧文旅产业</w:t>
      </w:r>
      <w:r>
        <w:rPr>
          <w:rFonts w:hint="eastAsia" w:ascii="宋体" w:hAnsi="宋体" w:eastAsia="仿宋_GB2312" w:cs="仿宋_GB2312"/>
          <w:b w:val="0"/>
          <w:bCs w:val="0"/>
          <w:color w:val="auto"/>
          <w:sz w:val="32"/>
          <w:szCs w:val="32"/>
          <w:lang w:val="en-US" w:eastAsia="zh-CN"/>
        </w:rPr>
        <w:t>运行</w:t>
      </w:r>
      <w:r>
        <w:rPr>
          <w:rFonts w:hint="eastAsia" w:ascii="宋体" w:hAnsi="宋体" w:eastAsia="仿宋_GB2312" w:cs="仿宋_GB2312"/>
          <w:b w:val="0"/>
          <w:bCs w:val="0"/>
          <w:color w:val="auto"/>
          <w:sz w:val="32"/>
          <w:szCs w:val="32"/>
          <w:lang w:val="en" w:eastAsia="zh-CN"/>
        </w:rPr>
        <w:t>监测平台。</w:t>
      </w:r>
      <w:r>
        <w:rPr>
          <w:rFonts w:hint="eastAsia" w:ascii="宋体" w:hAnsi="宋体" w:eastAsia="仿宋_GB2312" w:cs="仿宋_GB2312"/>
          <w:b w:val="0"/>
          <w:bCs w:val="0"/>
          <w:color w:val="auto"/>
          <w:sz w:val="32"/>
          <w:szCs w:val="32"/>
          <w:lang w:val="en-US" w:eastAsia="zh-CN"/>
        </w:rPr>
        <w:t>深化现代科技在文化和旅游领域的创新应用，</w:t>
      </w:r>
      <w:r>
        <w:rPr>
          <w:rFonts w:hint="eastAsia" w:ascii="宋体" w:hAnsi="宋体" w:eastAsia="仿宋_GB2312" w:cs="仿宋_GB2312"/>
          <w:b w:val="0"/>
          <w:bCs w:val="0"/>
          <w:color w:val="auto"/>
          <w:sz w:val="32"/>
          <w:szCs w:val="32"/>
          <w:lang w:val="en" w:eastAsia="zh-CN"/>
        </w:rPr>
        <w:t>建设济源智慧文旅产业</w:t>
      </w:r>
      <w:r>
        <w:rPr>
          <w:rFonts w:hint="eastAsia" w:ascii="宋体" w:hAnsi="宋体" w:eastAsia="仿宋_GB2312" w:cs="仿宋_GB2312"/>
          <w:b w:val="0"/>
          <w:bCs w:val="0"/>
          <w:color w:val="auto"/>
          <w:sz w:val="32"/>
          <w:szCs w:val="32"/>
          <w:lang w:val="en-US" w:eastAsia="zh-CN"/>
        </w:rPr>
        <w:t>运行</w:t>
      </w:r>
      <w:r>
        <w:rPr>
          <w:rFonts w:hint="eastAsia" w:ascii="宋体" w:hAnsi="宋体" w:eastAsia="仿宋_GB2312" w:cs="仿宋_GB2312"/>
          <w:b w:val="0"/>
          <w:bCs w:val="0"/>
          <w:color w:val="auto"/>
          <w:sz w:val="32"/>
          <w:szCs w:val="32"/>
          <w:lang w:val="en" w:eastAsia="zh-CN"/>
        </w:rPr>
        <w:t>监测平台，</w:t>
      </w:r>
      <w:r>
        <w:rPr>
          <w:rFonts w:hint="eastAsia" w:ascii="宋体" w:hAnsi="宋体" w:eastAsia="仿宋_GB2312" w:cs="仿宋_GB2312"/>
          <w:b w:val="0"/>
          <w:bCs w:val="0"/>
          <w:color w:val="auto"/>
          <w:sz w:val="32"/>
          <w:szCs w:val="32"/>
          <w:lang w:val="en-US" w:eastAsia="zh-CN"/>
        </w:rPr>
        <w:t>进一步提升文旅行业提升监管和治理能力，推动济源文旅产业运行监测精细化管理，提升对文旅产业的常态化监督、管理和服务。三是强化职业技能培训。进一步加大宣传统筹力度，推进“人人持证 技能河南”建设工作。四是持续抓好防疫工作。提高文旅系统风险意识和防灾减灾能力。科学精准做好疫情防控工作，认真落实优化措施，指导各类公共文化单位、文化和旅游经营单位做好场所内疫情防控管理、从业人员健康监测和面向公众的宣传引导工作。五是做好平安文旅创建工作。提高文化广电旅游市场突发事件的应急处置能力，持续开展“三零创建”、安全播出、消防安全隐患整治、扫黑除恶、安全生产宣传教育培训、文明创建等工作。</w:t>
      </w:r>
    </w:p>
    <w:p>
      <w:pPr>
        <w:pStyle w:val="5"/>
        <w:keepNext w:val="0"/>
        <w:keepLines w:val="0"/>
        <w:pageBreakBefore w:val="0"/>
        <w:widowControl w:val="0"/>
        <w:tabs>
          <w:tab w:val="left" w:pos="992"/>
        </w:tabs>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b w:val="0"/>
          <w:bCs w:val="0"/>
          <w:kern w:val="2"/>
          <w:sz w:val="32"/>
          <w:szCs w:val="32"/>
          <w:lang w:val="en-US" w:eastAsia="zh-CN" w:bidi="ar-SA"/>
        </w:rPr>
        <w:t>十、推动党建高质量发展。</w:t>
      </w:r>
      <w:r>
        <w:rPr>
          <w:rFonts w:hint="eastAsia" w:ascii="宋体" w:hAnsi="宋体" w:eastAsia="仿宋_GB2312" w:cs="仿宋_GB2312"/>
          <w:b w:val="0"/>
          <w:bCs w:val="0"/>
          <w:color w:val="auto"/>
          <w:kern w:val="2"/>
          <w:sz w:val="32"/>
          <w:szCs w:val="32"/>
          <w:lang w:val="en-US" w:eastAsia="zh-CN" w:bidi="ar-SA"/>
        </w:rPr>
        <w:t>一是强化理论武装。认真抓好党的二十大精神培训，在全面学习、全面把握、全面落实上下真功、见实效。严格落实“第一议题”、中心组理论学习、个人自学制度，及时组织党员干部学习贯彻习近平总书记关于文化旅游工作重要论述，为推动实施文旅文创融合战略提供思想政治保证。二是压实党建责任。加强对系统全面从严治党工作的组织领导，层层压实党建主体责任、第一责任和“一岗双责”。深化基层党组织标准化规范化建设，通过学习培训、示范引领、督导检查等促进基层党建提质增效。三是推进制度落实。把加强制度建设、制度刚性约束作为提高党建工作质量的根本保障，严格执行“三会一课”、主题党日等基本制度。根据党的二十大关于全面从严治党新要求，修订完善党建规章制度。强化督促检查，始终保持狠抓执行的落实韧劲。四是从严正风肃纪。按照二十大“坚持严的基调强化正风肃纪”战略部署，坚持党性党风党纪一起抓，以钉钉子精神持续纠治“四风”。扎实推进清廉机关创建行动。加强廉政警示教育，推进以案促改制度化常态化。</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sectPr>
          <w:footerReference r:id="rId3" w:type="default"/>
          <w:footerReference r:id="rId4" w:type="even"/>
          <w:pgSz w:w="11906" w:h="16838"/>
          <w:pgMar w:top="1871" w:right="1474" w:bottom="1701" w:left="1587" w:header="851" w:footer="1531" w:gutter="0"/>
          <w:pgNumType w:fmt="decimal"/>
          <w:cols w:space="0" w:num="1"/>
          <w:docGrid w:type="lines" w:linePitch="315" w:charSpace="0"/>
        </w:sectPr>
      </w:pPr>
    </w:p>
    <w:p>
      <w:pPr>
        <w:pStyle w:val="2"/>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仿宋_GB2312" w:cs="仿宋_GB2312"/>
          <w:b w:val="0"/>
          <w:bCs w:val="0"/>
          <w:color w:val="auto"/>
          <w:spacing w:val="0"/>
          <w:sz w:val="32"/>
          <w:szCs w:val="32"/>
        </w:rPr>
      </w:pPr>
    </w:p>
    <w:p>
      <w:pPr>
        <w:widowControl w:val="0"/>
        <w:wordWrap/>
        <w:adjustRightInd/>
        <w:snapToGrid/>
        <w:spacing w:line="590" w:lineRule="exact"/>
        <w:jc w:val="left"/>
        <w:textAlignment w:val="auto"/>
        <w:rPr>
          <w:rFonts w:hint="eastAsia" w:ascii="宋体" w:hAnsi="宋体" w:eastAsia="仿宋_GB2312" w:cs="仿宋_GB2312"/>
          <w:b w:val="0"/>
          <w:bCs w:val="0"/>
          <w:spacing w:val="0"/>
          <w:w w:val="90"/>
          <w:sz w:val="32"/>
          <w:szCs w:val="32"/>
        </w:rPr>
      </w:pPr>
      <w:r>
        <w:rPr>
          <w:rFonts w:hint="eastAsia" w:ascii="宋体" w:hAnsi="宋体" w:eastAsia="仿宋_GB2312" w:cs="仿宋_GB2312"/>
          <w:b w:val="0"/>
          <w:bCs w:val="0"/>
          <w:spacing w:val="0"/>
          <w:sz w:val="32"/>
          <w:szCs w:val="32"/>
        </w:rPr>
        <w:t>联系单位及电话：</w:t>
      </w:r>
      <w:r>
        <w:rPr>
          <w:rFonts w:hint="eastAsia" w:ascii="宋体" w:hAnsi="宋体" w:eastAsia="仿宋_GB2312" w:cs="仿宋_GB2312"/>
          <w:b w:val="0"/>
          <w:bCs w:val="0"/>
          <w:spacing w:val="0"/>
          <w:w w:val="90"/>
          <w:sz w:val="32"/>
          <w:szCs w:val="32"/>
        </w:rPr>
        <w:t>济源</w:t>
      </w:r>
      <w:r>
        <w:rPr>
          <w:rFonts w:hint="eastAsia" w:ascii="宋体" w:hAnsi="宋体" w:eastAsia="仿宋_GB2312" w:cs="仿宋_GB2312"/>
          <w:b w:val="0"/>
          <w:bCs w:val="0"/>
          <w:spacing w:val="0"/>
          <w:w w:val="90"/>
          <w:sz w:val="32"/>
          <w:szCs w:val="32"/>
          <w:lang w:eastAsia="zh-CN"/>
        </w:rPr>
        <w:t>产城融合示范区文化广电和</w:t>
      </w:r>
      <w:r>
        <w:rPr>
          <w:rFonts w:hint="eastAsia" w:ascii="宋体" w:hAnsi="宋体" w:eastAsia="仿宋_GB2312" w:cs="仿宋_GB2312"/>
          <w:b w:val="0"/>
          <w:bCs w:val="0"/>
          <w:spacing w:val="0"/>
          <w:w w:val="90"/>
          <w:sz w:val="32"/>
          <w:szCs w:val="32"/>
        </w:rPr>
        <w:t>旅游</w:t>
      </w:r>
      <w:r>
        <w:rPr>
          <w:rFonts w:hint="eastAsia" w:ascii="宋体" w:hAnsi="宋体" w:eastAsia="仿宋_GB2312" w:cs="仿宋_GB2312"/>
          <w:b w:val="0"/>
          <w:bCs w:val="0"/>
          <w:spacing w:val="0"/>
          <w:w w:val="90"/>
          <w:sz w:val="32"/>
          <w:szCs w:val="32"/>
          <w:lang w:eastAsia="zh-CN"/>
        </w:rPr>
        <w:t>局</w:t>
      </w:r>
      <w:r>
        <w:rPr>
          <w:rFonts w:hint="eastAsia" w:ascii="宋体" w:hAnsi="宋体" w:eastAsia="仿宋_GB2312" w:cs="仿宋_GB2312"/>
          <w:b w:val="0"/>
          <w:bCs w:val="0"/>
          <w:spacing w:val="0"/>
          <w:w w:val="90"/>
          <w:sz w:val="32"/>
          <w:szCs w:val="32"/>
        </w:rPr>
        <w:t xml:space="preserve">  6633180</w:t>
      </w:r>
    </w:p>
    <w:p>
      <w:pPr>
        <w:widowControl w:val="0"/>
        <w:wordWrap/>
        <w:adjustRightInd/>
        <w:snapToGrid/>
        <w:spacing w:line="590" w:lineRule="exact"/>
        <w:textAlignment w:val="auto"/>
        <w:rPr>
          <w:rFonts w:hint="default"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rPr>
        <w:t>联系人：</w:t>
      </w:r>
      <w:r>
        <w:rPr>
          <w:rFonts w:hint="eastAsia" w:ascii="宋体" w:hAnsi="宋体" w:eastAsia="仿宋_GB2312" w:cs="仿宋_GB2312"/>
          <w:b w:val="0"/>
          <w:bCs w:val="0"/>
          <w:spacing w:val="0"/>
          <w:sz w:val="32"/>
          <w:szCs w:val="32"/>
          <w:lang w:eastAsia="zh-CN"/>
        </w:rPr>
        <w:t>颜文奇</w:t>
      </w:r>
      <w:r>
        <w:rPr>
          <w:rFonts w:hint="eastAsia" w:ascii="宋体" w:hAnsi="宋体" w:eastAsia="仿宋_GB2312" w:cs="仿宋_GB2312"/>
          <w:b w:val="0"/>
          <w:bCs w:val="0"/>
          <w:spacing w:val="0"/>
          <w:sz w:val="32"/>
          <w:szCs w:val="32"/>
        </w:rPr>
        <w:t xml:space="preserve">  </w:t>
      </w:r>
    </w:p>
    <w:p>
      <w:pPr>
        <w:widowControl w:val="0"/>
        <w:wordWrap/>
        <w:adjustRightInd/>
        <w:snapToGrid/>
        <w:spacing w:line="590" w:lineRule="exact"/>
        <w:ind w:left="1280" w:leftChars="0" w:right="0" w:hanging="1280" w:hangingChars="400"/>
        <w:jc w:val="both"/>
        <w:textAlignment w:val="auto"/>
        <w:outlineLvl w:val="9"/>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抄</w:t>
      </w:r>
      <w:r>
        <w:rPr>
          <w:rFonts w:hint="eastAsia" w:ascii="宋体" w:hAnsi="宋体" w:eastAsia="仿宋_GB2312"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送：市</w:t>
      </w:r>
      <w:r>
        <w:rPr>
          <w:rFonts w:hint="eastAsia" w:ascii="宋体" w:hAnsi="宋体" w:eastAsia="仿宋_GB2312" w:cs="仿宋_GB2312"/>
          <w:b w:val="0"/>
          <w:bCs w:val="0"/>
          <w:spacing w:val="0"/>
          <w:sz w:val="32"/>
          <w:szCs w:val="32"/>
          <w:lang w:eastAsia="zh-CN"/>
        </w:rPr>
        <w:t>政协提案委</w:t>
      </w:r>
      <w:r>
        <w:rPr>
          <w:rFonts w:hint="eastAsia" w:ascii="宋体" w:hAnsi="宋体" w:eastAsia="仿宋_GB2312" w:cs="仿宋_GB2312"/>
          <w:b w:val="0"/>
          <w:bCs w:val="0"/>
          <w:spacing w:val="0"/>
          <w:sz w:val="32"/>
          <w:szCs w:val="32"/>
          <w:lang w:val="en-US" w:eastAsia="zh-CN"/>
        </w:rPr>
        <w:t>6</w:t>
      </w:r>
      <w:r>
        <w:rPr>
          <w:rFonts w:hint="eastAsia" w:ascii="宋体" w:hAnsi="宋体" w:eastAsia="仿宋_GB2312" w:cs="仿宋_GB2312"/>
          <w:b w:val="0"/>
          <w:bCs w:val="0"/>
          <w:spacing w:val="0"/>
          <w:sz w:val="32"/>
          <w:szCs w:val="32"/>
        </w:rPr>
        <w:t>份，</w:t>
      </w:r>
      <w:r>
        <w:rPr>
          <w:rFonts w:hint="eastAsia" w:ascii="宋体" w:hAnsi="宋体" w:eastAsia="仿宋_GB2312" w:cs="仿宋_GB2312"/>
          <w:b w:val="0"/>
          <w:bCs w:val="0"/>
          <w:spacing w:val="0"/>
          <w:sz w:val="32"/>
          <w:szCs w:val="32"/>
          <w:lang w:eastAsia="zh-CN"/>
        </w:rPr>
        <w:t>市政府</w:t>
      </w:r>
      <w:r>
        <w:rPr>
          <w:rFonts w:hint="eastAsia" w:ascii="宋体" w:hAnsi="宋体" w:eastAsia="仿宋_GB2312" w:cs="仿宋_GB2312"/>
          <w:b w:val="0"/>
          <w:bCs w:val="0"/>
          <w:spacing w:val="0"/>
          <w:sz w:val="32"/>
          <w:szCs w:val="32"/>
        </w:rPr>
        <w:t>办公室1份、督查局1份。</w:t>
      </w:r>
    </w:p>
    <w:p>
      <w:pPr>
        <w:spacing w:line="640" w:lineRule="exact"/>
        <w:ind w:left="0" w:leftChars="0" w:firstLine="286" w:firstLineChars="100"/>
        <w:rPr>
          <w:rFonts w:hint="default" w:ascii="宋体" w:hAnsi="宋体"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ascii="宋体" w:hAnsi="宋体" w:eastAsia="宋体" w:cs="Times New Roman"/>
          <w:b w:val="0"/>
          <w:bCs w:val="0"/>
          <w:spacing w:val="-17"/>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89535</wp:posOffset>
                </wp:positionV>
                <wp:extent cx="5615940" cy="635"/>
                <wp:effectExtent l="0" t="0" r="0" b="0"/>
                <wp:wrapNone/>
                <wp:docPr id="2" name="直线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2pt;margin-top:7.05pt;height:0.05pt;width:442.2pt;z-index:251661312;mso-width-relative:page;mso-height-relative:page;" filled="f" stroked="t" coordsize="21600,21600" o:gfxdata="UEsFBgAAAAAAAAAAAAAAAAAAAAAAAFBLAwQKAAAAAACHTuJAAAAAAAAAAAAAAAAABAAAAGRycy9Q&#10;SwMEFAAAAAgAh07iQDovVAfTAAAABgEAAA8AAABkcnMvZG93bnJldi54bWxNj71Ow0AQhHsk3uG0&#10;SDQROdtYyDI+pwDc0RBAtBvfxrbi23N8lx94ejYVlDszmv2mWp3dqI40h8GzgXSZgCJuvR24M/Dx&#10;3twVoEJEtjh6JgPfFGBVX19VWFp/4jc6rmOnpIRDiQb6GKdS69D25DAs/UQs3tbPDqOcc6ftjCcp&#10;d6POkuRBOxxYPvQ40VNP7W59cAZC80n75mfRLpKv+85Ttn9+fUFjbm/S5BFUpHP8C8MFX9ChFqaN&#10;P7ANajSQS07UPAUlblHkMmRzETLQdaX/49e/UEsDBBQAAAAIAIdO4kCdn9pM6QEAAN0DAAAOAAAA&#10;ZHJzL2Uyb0RvYy54bWytU0uOEzEQ3SNxB8t70kmGREwrnVlMGDYIIjEcoGK7uy35J5eTTs7CNVix&#10;4ThzDcrukIFhkwW9cJddz8/1Xtmru6M17KAiau8aPptMOVNOeKld1/Cvjw9v3nGGCZwE451q+Ekh&#10;v1u/frUaQq3mvvdGqsiIxGE9hIb3KYW6qlD0ygJOfFCOkq2PFhJNY1fJCAOxW1PNp9NlNfgoQ/RC&#10;IdLqZkzyM2O8htC3rRZq48XeKpdG1qgMJJKEvQ7I16XatlUifW5bVImZhpPSVEY6hOJdHqv1Cuou&#10;Qui1OJcA15TwQpMF7ejQC9UGErB91P9QWS2iR9+mifC2GoUUR0jFbPrCmy89BFW0kNUYLqbj/6MV&#10;nw7byLRs+JwzB5Ya/vTt+9OPn+wmezMErAly77bxPMOwjVnosY02/0kCOxY/Txc/1TExQYuL5Wxx&#10;+5asFpRb3iwyY/W8NURMH5S3LAcNN9plsVDD4SOmEfobkpeNY0PDbxfzBREC3byWOk6hDVQ9uq7s&#10;RW+0fNDG5B0Yu929iewAufvlO5fwFywfsgHsR1xJZRjUvQL53kmWToF8cfQceC7BKsmZUfR6clSQ&#10;CbS5BknqjSMTsq+jkznaeXmiLuxD1F1PTsxKlTlDXS+WnW9ovlZ/zgvT86tc/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BQAAAAIAIdO4kA6L1QH0wAAAAYBAAAPAAAAAAAAAAEAIAAAADgAAABk&#10;cnMvZG93bnJldi54bWxQSwECFAAUAAAACACHTuJAnZ/aTOkBAADdAwAADgAAAAAAAAABACAAAAA4&#10;AQAAZHJzL2Uyb0RvYy54bWxQSwECFAAKAAAAAACHTuJAAAAAAAAAAAAAAAAABAAAAAAAAAAAABAA&#10;AAAWAAAAZHJzL1BLAQIUAAoAAAAAAIdO4kAAAAAAAAAAAAAAAAAGAAAAAAAAAAAAEAAAAE0DAABf&#10;cmVscy9QSwUGAAAAAAYABgBZAQAAkwUAAAAA&#10;">
                <v:fill on="f" focussize="0,0"/>
                <v:stroke color="#000000" joinstyle="round"/>
                <v:imagedata o:title=""/>
                <o:lock v:ext="edit" aspectratio="f"/>
              </v:line>
            </w:pict>
          </mc:Fallback>
        </mc:AlternateContent>
      </w:r>
      <w:r>
        <w:rPr>
          <w:rFonts w:ascii="宋体" w:hAnsi="宋体" w:eastAsia="宋体" w:cs="Times New Roman"/>
          <w:b w:val="0"/>
          <w:bCs w:val="0"/>
          <w:spacing w:val="-17"/>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444500</wp:posOffset>
                </wp:positionV>
                <wp:extent cx="5615940" cy="635"/>
                <wp:effectExtent l="0" t="0" r="0" b="0"/>
                <wp:wrapNone/>
                <wp:docPr id="1" name="直线 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15pt;margin-top:35pt;height:0.05pt;width:442.2pt;z-index:251662336;mso-width-relative:page;mso-height-relative:page;" filled="f" stroked="t" coordsize="21600,21600" o:gfxdata="UEsFBgAAAAAAAAAAAAAAAAAAAAAAAFBLAwQKAAAAAACHTuJAAAAAAAAAAAAAAAAABAAAAGRycy9Q&#10;SwMEFAAAAAgAh07iQMr8rrrUAAAABgEAAA8AAABkcnMvZG93bnJldi54bWxNj81OwzAQhO9IvIO1&#10;SFwqaqdFNApxegBy40IBcd3GSxIRr9PY/YGnZ3uC4+yMZr4t1yc/qANNsQ9sIZsbUMRNcD23Ft5e&#10;65scVEzIDofAZOGbIqyry4sSCxeO/EKHTWqVlHAs0EKX0lhoHZuOPMZ5GInF+wyTxyRyarWb8Cjl&#10;ftALY+60x55locORHjpqvjZ7byHW77Srf2bNzHws20CL3ePzE1p7fZWZe1CJTukvDGd8QYdKmLZh&#10;zy6qwcJSchZWRh4SN89vV6C250MGuir1f/zqF1BLAwQUAAAACACHTuJAgzMzhOkBAADdAwAADgAA&#10;AGRycy9lMm9Eb2MueG1srVNLjhMxEN0jcQfLe9JJhkRMK51ZTBg2CCIBB6jY7m5L/snlpJOzcA1W&#10;bDjOXIOyO2Rg2GQxvXCXXc/P9V7Zq7ujNeygImrvGj6bTDlTTnipXdfwb18f3rzjDBM4CcY71fCT&#10;Qn63fv1qNYRazX3vjVSREYnDeggN71MKdVWh6JUFnPigHCVbHy0kmsaukhEGYremmk+ny2rwUYbo&#10;hUKk1c2Y5GfGeA2hb1st1MaLvVUujaxRGUgkCXsdkK9LtW2rRPrctqgSMw0npamMdAjFuzxW6xXU&#10;XYTQa3EuAa4p4ZkmC9rRoReqDSRg+6j/o7JaRI++TRPhbTUKKY6Qitn0mTdfegiqaCGrMVxMx5ej&#10;FZ8O28i0pJvAmQNLDX/8/uPx5y82z94MAWuC3LttPM8wbGMWemyjzX+SwI7Fz9PFT3VMTNDiYjlb&#10;3L4lqwXlljeLzFg9bQ0R0wflLctBw412WSzUcPiIaYT+geRl49jQ8NvFfEGEQDevpY5TaANVj64r&#10;e9EbLR+0MXkHxm53byI7QO5++c4l/APLh2wA+xFXUhkGda9AvneSpVMgXxw9B55LsEpyZhS9nhwV&#10;ZAJtrkGSeuPIhOzr6GSOdl6eqAv7EHXXkxOzUmXOUNeLZecbmq/V3/PC9PQq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yvyuutQAAAAGAQAADwAAAAAAAAABACAAAAA4AAAA&#10;ZHJzL2Rvd25yZXYueG1sUEsBAhQAFAAAAAgAh07iQIMzM4TpAQAA3QMAAA4AAAAAAAAAAQAgAAAA&#10;OQEAAGRycy9lMm9Eb2MueG1sUEsBAhQACgAAAAAAh07iQAAAAAAAAAAAAAAAAAQAAAAAAAAAAAAQ&#10;AAAAFgAAAGRycy9QSwECFAAKAAAAAACHTuJAAAAAAAAAAAAAAAAABgAAAAAAAAAAABAAAABOAwAA&#10;X3JlbHMvUEsFBgAAAAAGAAYAWQEAAJQFAAAAAA==&#10;">
                <v:fill on="f" focussize="0,0"/>
                <v:stroke color="#000000" joinstyle="round"/>
                <v:imagedata o:title=""/>
                <o:lock v:ext="edit" aspectratio="f"/>
              </v:line>
            </w:pict>
          </mc:Fallback>
        </mc:AlternateContent>
      </w:r>
      <w:r>
        <w:rPr>
          <w:rFonts w:hint="eastAsia" w:ascii="宋体" w:hAnsi="宋体" w:eastAsia="仿宋_GB2312"/>
          <w:b w:val="0"/>
          <w:bCs w:val="0"/>
          <w:spacing w:val="-17"/>
          <w:sz w:val="32"/>
          <w:szCs w:val="32"/>
        </w:rPr>
        <w:t>济源产城融合示范区文化广电和旅游局办公室</w:t>
      </w:r>
      <w:r>
        <w:rPr>
          <w:rFonts w:hint="eastAsia" w:ascii="宋体" w:hAnsi="宋体" w:eastAsia="仿宋_GB2312" w:cs="仿宋_GB2312"/>
          <w:b w:val="0"/>
          <w:bCs w:val="0"/>
          <w:spacing w:val="-17"/>
          <w:sz w:val="32"/>
          <w:szCs w:val="32"/>
        </w:rPr>
        <w:t xml:space="preserve"> </w:t>
      </w:r>
      <w:r>
        <w:rPr>
          <w:rFonts w:ascii="宋体" w:hAnsi="宋体" w:eastAsia="仿宋_GB2312" w:cs="仿宋_GB2312"/>
          <w:b w:val="0"/>
          <w:bCs w:val="0"/>
          <w:spacing w:val="-17"/>
          <w:sz w:val="32"/>
          <w:szCs w:val="32"/>
        </w:rPr>
        <w:t>20</w:t>
      </w:r>
      <w:r>
        <w:rPr>
          <w:rFonts w:hint="eastAsia" w:ascii="宋体" w:hAnsi="宋体" w:eastAsia="仿宋_GB2312" w:cs="仿宋_GB2312"/>
          <w:b w:val="0"/>
          <w:bCs w:val="0"/>
          <w:spacing w:val="-17"/>
          <w:sz w:val="32"/>
          <w:szCs w:val="32"/>
        </w:rPr>
        <w:t>2</w:t>
      </w:r>
      <w:r>
        <w:rPr>
          <w:rFonts w:hint="eastAsia" w:ascii="宋体" w:hAnsi="宋体" w:eastAsia="仿宋_GB2312" w:cs="仿宋_GB2312"/>
          <w:b w:val="0"/>
          <w:bCs w:val="0"/>
          <w:spacing w:val="-17"/>
          <w:sz w:val="32"/>
          <w:szCs w:val="32"/>
          <w:lang w:val="en-US" w:eastAsia="zh-CN"/>
        </w:rPr>
        <w:t>3</w:t>
      </w:r>
      <w:r>
        <w:rPr>
          <w:rFonts w:hint="eastAsia" w:ascii="宋体" w:hAnsi="宋体" w:eastAsia="仿宋_GB2312" w:cs="仿宋_GB2312"/>
          <w:b w:val="0"/>
          <w:bCs w:val="0"/>
          <w:spacing w:val="-17"/>
          <w:sz w:val="32"/>
          <w:szCs w:val="32"/>
        </w:rPr>
        <w:t>年</w:t>
      </w:r>
      <w:r>
        <w:rPr>
          <w:rFonts w:hint="eastAsia" w:ascii="宋体" w:hAnsi="宋体" w:cs="仿宋_GB2312"/>
          <w:b w:val="0"/>
          <w:bCs w:val="0"/>
          <w:spacing w:val="-17"/>
          <w:sz w:val="32"/>
          <w:szCs w:val="32"/>
          <w:lang w:val="en-US" w:eastAsia="zh-CN"/>
        </w:rPr>
        <w:t>7</w:t>
      </w:r>
      <w:r>
        <w:rPr>
          <w:rFonts w:hint="eastAsia" w:ascii="宋体" w:hAnsi="宋体" w:eastAsia="仿宋_GB2312" w:cs="仿宋_GB2312"/>
          <w:b w:val="0"/>
          <w:bCs w:val="0"/>
          <w:spacing w:val="-17"/>
          <w:sz w:val="32"/>
          <w:szCs w:val="32"/>
        </w:rPr>
        <w:t>月</w:t>
      </w:r>
      <w:r>
        <w:rPr>
          <w:rFonts w:hint="eastAsia" w:ascii="宋体" w:hAnsi="宋体" w:eastAsia="仿宋_GB2312" w:cs="仿宋_GB2312"/>
          <w:b w:val="0"/>
          <w:bCs w:val="0"/>
          <w:spacing w:val="-17"/>
          <w:sz w:val="32"/>
          <w:szCs w:val="32"/>
          <w:lang w:val="en-US" w:eastAsia="zh-CN"/>
        </w:rPr>
        <w:t>10</w:t>
      </w:r>
      <w:r>
        <w:rPr>
          <w:rFonts w:hint="eastAsia" w:ascii="宋体" w:hAnsi="宋体" w:eastAsia="仿宋_GB2312" w:cs="仿宋_GB2312"/>
          <w:b w:val="0"/>
          <w:bCs w:val="0"/>
          <w:spacing w:val="-17"/>
          <w:sz w:val="32"/>
          <w:szCs w:val="32"/>
        </w:rPr>
        <w:t>日印</w:t>
      </w:r>
    </w:p>
    <w:sectPr>
      <w:footerReference r:id="rId5" w:type="default"/>
      <w:footerReference r:id="rId6" w:type="even"/>
      <w:pgSz w:w="11906" w:h="16838"/>
      <w:pgMar w:top="1871" w:right="1474" w:bottom="1701" w:left="1587" w:header="851" w:footer="1531"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3502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5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5.75pt;mso-position-horizontal:outside;mso-position-horizontal-relative:margin;z-index:251659264;mso-width-relative:page;mso-height-relative:page;" filled="f" stroked="f" coordsize="21600,21600" o:gfxdata="UEsFBgAAAAAAAAAAAAAAAAAAAAAAAFBLAwQKAAAAAACHTuJAAAAAAAAAAAAAAAAABAAAAGRycy9Q&#10;SwMEFAAAAAgAh07iQIoJ+s7UAAAABQEAAA8AAABkcnMvZG93bnJldi54bWxNjzFPwzAQhXck/oN1&#10;SGzUThEoCnE6IOgAEylCjNf4EqeNz1HspoVfj8sCy0lP7+6978rVyQ1ipin0njVkCwWCuPGm507D&#10;++b5JgcRIrLBwTNp+KIAq+ryosTC+CO/0VzHTqQQDgVqsDGOhZShseQwLPxInLzWTw5jklMnzYTH&#10;FO4GuVTqXjrsOTVYHOnRUrOvDy5hfLwqt/5u7ad7wTbUdjOvn3ZaX19l6gFEpFP8W4YzfrqBKjFt&#10;/YFNEIOG9Ej8nWfvNrsDsdWwzHMFsirlf/rqB1BLAwQUAAAACACHTuJA68i3PTYCAABiBAAADgAA&#10;AGRycy9lMm9Eb2MueG1srVTLjhJBFN2b+A+V2ksDhgkhNBMcgjEhziRoXBfV1XQn9bKqoBs/QP/A&#10;lRv3fhff4alqmjGji1m4KW7f9zn3Xua3rZLkKJyvjc7paDCkRGhuilrvc/rxw/rVlBIfmC6YNFrk&#10;9CQ8vV28fDFv7EyMTWVkIRxBEu1njc1pFYKdZZnnlVDMD4wVGsbSOMUCPt0+KxxrkF3JbDwc3mSN&#10;cYV1hgvvoV11RnrJ6J6T0JRlzcXK8IMSOnRZnZAsAJKvauvpInVbloKH+7L0IhCZUyAN6UURyLv4&#10;Zos5m+0ds1XNLy2w57TwBJNitUbRa6oVC4wcXP1XKlVzZ7wpw4AblXVAEiNAMRo+4WZbMSsSFlDt&#10;7ZV0///S8vfHB0fqIqcTSjRTGPj5+7fzj1/nn1/JJNLTWD+D19bCL7RvTIul6fUeyoi6LZ2Kv8BD&#10;YAe5pyu5og2EQzl9PRmOUYTDNJqOp9NhYj97jLbOh7fCKBKFnDoML3HKjhsf0Alce5dYTJt1LWUa&#10;oNSkyekNKqSAqwURUiMwYuh6jVJod+0F2M4UJ+ByplsMb/m6RvEN8+GBOWwCoOBWwj2eUhoUMReJ&#10;ksq4L//SR38MCFZKGmxWTv3nA3OCEvlOY3RxDXvB9cKuF/RB3Rks6whXaHkSEeCC7MXSGfUJJ7SM&#10;VWBimqNWTkMv3oVuv3GCXCyXyelgXb2vugAsnmVho7eWxzKRSm+XhwA6E8uRoo6XC3NYvUT+5Uzi&#10;bv/5nbwe/xo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BQAAAAIAIdO4kCKCfrO1AAAAAUB&#10;AAAPAAAAAAAAAAEAIAAAADgAAABkcnMvZG93bnJldi54bWxQSwECFAAUAAAACACHTuJA68i3PTYC&#10;AABiBAAADgAAAAAAAAABACAAAAA5AQAAZHJzL2Uyb0RvYy54bWxQSwECFAAKAAAAAACHTuJAAAAA&#10;AAAAAAAAAAAABAAAAAAAAAAAABAAAAAWAAAAZHJzL1BLAQIUAAoAAAAAAIdO4kAAAAAAAAAAAAAA&#10;AAAGAAAAAAAAAAAAEAAAAJsDAABfcmVscy9QSwUGAAAAAAYABgBZAQAA4Q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firstLine="574"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MIkSX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firstLine="574" w:firstLineChars="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WY4MmU4Y2U5YzQzZmRkODQwZDUyMzYyMTI5YTYifQ=="/>
  </w:docVars>
  <w:rsids>
    <w:rsidRoot w:val="27857AE1"/>
    <w:rsid w:val="01E73203"/>
    <w:rsid w:val="03F304E2"/>
    <w:rsid w:val="04077D72"/>
    <w:rsid w:val="0490188E"/>
    <w:rsid w:val="04F66CEC"/>
    <w:rsid w:val="055A0684"/>
    <w:rsid w:val="060C23E3"/>
    <w:rsid w:val="09347F6C"/>
    <w:rsid w:val="0A822EB5"/>
    <w:rsid w:val="0AC875D1"/>
    <w:rsid w:val="0B1D1479"/>
    <w:rsid w:val="0C7FE333"/>
    <w:rsid w:val="0D002EE5"/>
    <w:rsid w:val="15295C09"/>
    <w:rsid w:val="16D47AD9"/>
    <w:rsid w:val="171950AF"/>
    <w:rsid w:val="18EB4EA9"/>
    <w:rsid w:val="19601698"/>
    <w:rsid w:val="1BD37210"/>
    <w:rsid w:val="1CE6719E"/>
    <w:rsid w:val="1EE41FB2"/>
    <w:rsid w:val="208B507E"/>
    <w:rsid w:val="242F2C47"/>
    <w:rsid w:val="267B7578"/>
    <w:rsid w:val="274E176E"/>
    <w:rsid w:val="274E7DD9"/>
    <w:rsid w:val="277F4378"/>
    <w:rsid w:val="27857AE1"/>
    <w:rsid w:val="28DC6898"/>
    <w:rsid w:val="29246FC4"/>
    <w:rsid w:val="2A9A4E2D"/>
    <w:rsid w:val="2F952127"/>
    <w:rsid w:val="30D20123"/>
    <w:rsid w:val="30DF324D"/>
    <w:rsid w:val="35426AFA"/>
    <w:rsid w:val="35AF09F7"/>
    <w:rsid w:val="36623B21"/>
    <w:rsid w:val="3B4D9B65"/>
    <w:rsid w:val="3B9A7656"/>
    <w:rsid w:val="3B9FF205"/>
    <w:rsid w:val="3BFF7C4C"/>
    <w:rsid w:val="3C9C01AD"/>
    <w:rsid w:val="3F9CB1FB"/>
    <w:rsid w:val="3FF71AF6"/>
    <w:rsid w:val="408830A3"/>
    <w:rsid w:val="4157447B"/>
    <w:rsid w:val="42631C9C"/>
    <w:rsid w:val="43FC3448"/>
    <w:rsid w:val="44473BCF"/>
    <w:rsid w:val="447C2876"/>
    <w:rsid w:val="44F763A1"/>
    <w:rsid w:val="45DE3E25"/>
    <w:rsid w:val="462671D8"/>
    <w:rsid w:val="484F15D2"/>
    <w:rsid w:val="4D057CBE"/>
    <w:rsid w:val="4EB40400"/>
    <w:rsid w:val="4FDFE1C1"/>
    <w:rsid w:val="5968044B"/>
    <w:rsid w:val="5A9E46C0"/>
    <w:rsid w:val="5E9357D6"/>
    <w:rsid w:val="5EF6CA3E"/>
    <w:rsid w:val="5FBF3A1E"/>
    <w:rsid w:val="5FFD737F"/>
    <w:rsid w:val="5FFFA8A5"/>
    <w:rsid w:val="6087232A"/>
    <w:rsid w:val="62770E51"/>
    <w:rsid w:val="69FF7879"/>
    <w:rsid w:val="6A552D66"/>
    <w:rsid w:val="6BAB373E"/>
    <w:rsid w:val="6D804CB8"/>
    <w:rsid w:val="6E7EDE9F"/>
    <w:rsid w:val="6F767B69"/>
    <w:rsid w:val="6FFA7AC1"/>
    <w:rsid w:val="6FFDAB14"/>
    <w:rsid w:val="705A02A9"/>
    <w:rsid w:val="71632195"/>
    <w:rsid w:val="73D01D05"/>
    <w:rsid w:val="74256647"/>
    <w:rsid w:val="74997E06"/>
    <w:rsid w:val="74C36DF2"/>
    <w:rsid w:val="756DB695"/>
    <w:rsid w:val="7702047B"/>
    <w:rsid w:val="784800A9"/>
    <w:rsid w:val="79BF4DC1"/>
    <w:rsid w:val="7AFFB20E"/>
    <w:rsid w:val="7B3CBA04"/>
    <w:rsid w:val="7B7102F6"/>
    <w:rsid w:val="7BAC2CA8"/>
    <w:rsid w:val="7C26331B"/>
    <w:rsid w:val="7D4C2083"/>
    <w:rsid w:val="7DEB192B"/>
    <w:rsid w:val="7F7FB059"/>
    <w:rsid w:val="7F919602"/>
    <w:rsid w:val="7FBF616B"/>
    <w:rsid w:val="7FC00BA4"/>
    <w:rsid w:val="7FEF822E"/>
    <w:rsid w:val="9D9F2DF4"/>
    <w:rsid w:val="9FBD94F5"/>
    <w:rsid w:val="9FF9E9A4"/>
    <w:rsid w:val="9FFF9C33"/>
    <w:rsid w:val="A5FFCB4B"/>
    <w:rsid w:val="A7F72B04"/>
    <w:rsid w:val="AF9796BD"/>
    <w:rsid w:val="AFFF9239"/>
    <w:rsid w:val="BDB7FC4D"/>
    <w:rsid w:val="BF9529F6"/>
    <w:rsid w:val="CF6DA7CE"/>
    <w:rsid w:val="D7F78C67"/>
    <w:rsid w:val="DDB4EC27"/>
    <w:rsid w:val="DEBD1902"/>
    <w:rsid w:val="DFFF5244"/>
    <w:rsid w:val="E7731232"/>
    <w:rsid w:val="E95D63BF"/>
    <w:rsid w:val="EAFEBBD9"/>
    <w:rsid w:val="EBF4DFA3"/>
    <w:rsid w:val="EDEEB88B"/>
    <w:rsid w:val="EF8FDFB8"/>
    <w:rsid w:val="F1FF0033"/>
    <w:rsid w:val="F2A9182C"/>
    <w:rsid w:val="F5CDF563"/>
    <w:rsid w:val="F5EFAAFD"/>
    <w:rsid w:val="F9AFEF6D"/>
    <w:rsid w:val="F9B7CCA9"/>
    <w:rsid w:val="FAFB7D0E"/>
    <w:rsid w:val="FBA7D68E"/>
    <w:rsid w:val="FBBF17B9"/>
    <w:rsid w:val="FBE75877"/>
    <w:rsid w:val="FBFDE317"/>
    <w:rsid w:val="FBFE2DE3"/>
    <w:rsid w:val="FBFE6D6F"/>
    <w:rsid w:val="FCFDF3F7"/>
    <w:rsid w:val="FDED513C"/>
    <w:rsid w:val="FFEBD254"/>
    <w:rsid w:val="FFEC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4"/>
    <w:semiHidden/>
    <w:unhideWhenUsed/>
    <w:qFormat/>
    <w:uiPriority w:val="0"/>
    <w:pPr>
      <w:widowControl/>
      <w:spacing w:beforeLines="0" w:beforeAutospacing="0" w:afterLines="0" w:afterAutospacing="0" w:line="560" w:lineRule="exact"/>
      <w:ind w:firstLine="643" w:firstLineChars="200"/>
      <w:jc w:val="left"/>
      <w:outlineLvl w:val="1"/>
    </w:pPr>
    <w:rPr>
      <w:rFonts w:ascii="宋体" w:hAnsi="宋体" w:eastAsia="仿宋_GB2312" w:cs="宋体"/>
      <w:b/>
      <w:bCs/>
      <w:kern w:val="0"/>
      <w:sz w:val="32"/>
      <w:szCs w:val="36"/>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620" w:lineRule="exact"/>
      <w:ind w:firstLine="640"/>
    </w:pPr>
    <w:rPr>
      <w:rFonts w:ascii="Times New Roman" w:hAnsi="Times New Roman"/>
    </w:rPr>
  </w:style>
  <w:style w:type="paragraph" w:styleId="3">
    <w:name w:val="Body Text Indent"/>
    <w:basedOn w:val="1"/>
    <w:next w:val="4"/>
    <w:qFormat/>
    <w:uiPriority w:val="0"/>
    <w:pPr>
      <w:ind w:firstLine="1044" w:firstLineChars="200"/>
    </w:p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Body Text First Indent"/>
    <w:basedOn w:val="6"/>
    <w:next w:val="1"/>
    <w:qFormat/>
    <w:uiPriority w:val="0"/>
    <w:pPr>
      <w:ind w:firstLine="420" w:firstLineChars="100"/>
    </w:pPr>
    <w:rPr>
      <w:rFonts w:cs="Times New Roman"/>
      <w:szCs w:val="20"/>
    </w:rPr>
  </w:style>
  <w:style w:type="paragraph" w:styleId="6">
    <w:name w:val="Body Text"/>
    <w:basedOn w:val="1"/>
    <w:next w:val="1"/>
    <w:qFormat/>
    <w:uiPriority w:val="0"/>
    <w:rPr>
      <w:rFonts w:eastAsia="仿宋_GB2312"/>
      <w:sz w:val="32"/>
    </w:rPr>
  </w:style>
  <w:style w:type="paragraph" w:styleId="8">
    <w:name w:val="Date"/>
    <w:basedOn w:val="1"/>
    <w:next w:val="1"/>
    <w:unhideWhenUsed/>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next w:val="6"/>
    <w:qFormat/>
    <w:uiPriority w:val="0"/>
    <w:pPr>
      <w:spacing w:after="120" w:afterLines="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Title"/>
    <w:basedOn w:val="1"/>
    <w:qFormat/>
    <w:uiPriority w:val="10"/>
    <w:pPr>
      <w:spacing w:after="300"/>
      <w:contextualSpacing/>
    </w:pPr>
    <w:rPr>
      <w:rFonts w:ascii="Calibri" w:hAnsi="Calibri" w:eastAsia="宋体" w:cs="黑体"/>
      <w:smallCaps/>
      <w:sz w:val="52"/>
      <w:szCs w:val="52"/>
    </w:rPr>
  </w:style>
  <w:style w:type="paragraph" w:customStyle="1" w:styleId="16">
    <w:name w:val="Body Text First Indent1"/>
    <w:basedOn w:val="6"/>
    <w:next w:val="1"/>
    <w:qFormat/>
    <w:uiPriority w:val="0"/>
    <w:pPr>
      <w:ind w:firstLine="420" w:firstLineChars="100"/>
    </w:pPr>
  </w:style>
  <w:style w:type="paragraph" w:customStyle="1" w:styleId="17">
    <w:name w:val="p0"/>
    <w:basedOn w:val="1"/>
    <w:qFormat/>
    <w:uiPriority w:val="0"/>
    <w:pPr>
      <w:widowControl/>
      <w:spacing w:before="30" w:after="30"/>
      <w:ind w:left="30" w:right="3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7405</Words>
  <Characters>7594</Characters>
  <Lines>0</Lines>
  <Paragraphs>0</Paragraphs>
  <TotalTime>5</TotalTime>
  <ScaleCrop>false</ScaleCrop>
  <LinksUpToDate>false</LinksUpToDate>
  <CharactersWithSpaces>7643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2021-07-29T02:15:00Z</dcterms:created>
  <dc:creator>花花</dc:creator>
  <cp:lastModifiedBy>greatwall</cp:lastModifiedBy>
  <cp:lastPrinted>2023-07-05T10:01:00Z</cp:lastPrinted>
  <dcterms:modified xsi:type="dcterms:W3CDTF">2023-07-19T10:17:24Z</dcterms:modified>
  <dc:title>132号“关于打造济源南太行黄金旅游带”重点建议工作完成情况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33FD108D00FD49FDB7D5C80B19955B64_13</vt:lpwstr>
  </property>
</Properties>
</file>